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pPr>
      <w:r>
        <w:rPr>
          <w:color w:val="000000"/>
        </w:rPr>
        <w:t> </w:t>
      </w: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3,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BWX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w:t>
      </w:r>
    </w:p>
    <w:tbl>
      <w:tblPr>
        <w:tblW w:w="6313" w:type="dxa"/>
        <w:jc w:val="center"/>
        <w:tblInd w:w="0" w:type="dxa"/>
        <w:tblLayout w:type="fixed"/>
        <w:tblCellMar>
          <w:top w:w="28" w:type="dxa"/>
          <w:left w:w="28" w:type="dxa"/>
          <w:bottom w:w="28" w:type="dxa"/>
          <w:right w:w="28" w:type="dxa"/>
        </w:tblCellMar>
      </w:tblPr>
      <w:tblGrid>
        <w:gridCol w:w="221"/>
        <w:gridCol w:w="194"/>
        <w:gridCol w:w="194"/>
        <w:gridCol w:w="364"/>
        <w:gridCol w:w="364"/>
        <w:gridCol w:w="366"/>
        <w:gridCol w:w="275"/>
        <w:gridCol w:w="275"/>
        <w:gridCol w:w="276"/>
        <w:gridCol w:w="194"/>
        <w:gridCol w:w="194"/>
        <w:gridCol w:w="194"/>
        <w:gridCol w:w="109"/>
        <w:gridCol w:w="109"/>
        <w:gridCol w:w="109"/>
        <w:gridCol w:w="353"/>
        <w:gridCol w:w="353"/>
        <w:gridCol w:w="358"/>
        <w:gridCol w:w="109"/>
        <w:gridCol w:w="109"/>
        <w:gridCol w:w="109"/>
        <w:gridCol w:w="433"/>
        <w:gridCol w:w="433"/>
        <w:gridCol w:w="618"/>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80-0558025</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 Main Street, 4th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Lynchburg,</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24504</w:t>
            </w:r>
          </w:p>
        </w:tc>
      </w:tr>
      <w:tr>
        <w:trPr/>
        <w:tc>
          <w:tcPr>
            <w:tcW w:w="31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(980) 365-4300</w:t>
      </w:r>
    </w:p>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55" w:type="dxa"/>
        <w:jc w:val="center"/>
        <w:tblInd w:w="0" w:type="dxa"/>
        <w:tblLayout w:type="fixed"/>
        <w:tblCellMar>
          <w:top w:w="28" w:type="dxa"/>
          <w:left w:w="28" w:type="dxa"/>
          <w:bottom w:w="28" w:type="dxa"/>
          <w:right w:w="28" w:type="dxa"/>
        </w:tblCellMar>
      </w:tblPr>
      <w:tblGrid>
        <w:gridCol w:w="990"/>
        <w:gridCol w:w="870"/>
        <w:gridCol w:w="870"/>
        <w:gridCol w:w="540"/>
        <w:gridCol w:w="540"/>
        <w:gridCol w:w="540"/>
        <w:gridCol w:w="1085"/>
        <w:gridCol w:w="1085"/>
        <w:gridCol w:w="1535"/>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055"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BWXT</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center"/>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right"/>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3, 2026, we issued a press release announcing our financial results for the second quarter ended June 30, 2026.  A copy of the press release is attached as Exhibit 99.1, and the information contained in Exhibit 99.1 is incorporated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to be "filed" for the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262"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2182"/>
        <w:gridCol w:w="2182"/>
        <w:gridCol w:w="309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wxt_63026xerexhibit991.htm">
              <w:r>
                <w:rPr>
                  <w:rStyle w:val="InternetLink"/>
                  <w:rFonts w:ascii="Times New Roman;serif" w:hAnsi="Times New Roman;serif"/>
                  <w:b w:val="false"/>
                  <w:color w:val="0000FF"/>
                  <w:sz w:val="20"/>
                  <w:u w:val="single"/>
                </w:rPr>
                <w:t>Earnings Release dated August 3,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510"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01"/>
        <w:gridCol w:w="1101"/>
        <w:gridCol w:w="1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BWX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Gorman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Gorman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drawing>
          <wp:inline distT="0" distB="0" distL="0" distR="0">
            <wp:extent cx="7772400" cy="1285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1285875"/>
                    </a:xfrm>
                    <a:prstGeom prst="rect">
                      <a:avLst/>
                    </a:prstGeom>
                  </pic:spPr>
                </pic:pic>
              </a:graphicData>
            </a:graphic>
          </wp:inline>
        </w:drawing>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BWX Technologies Reports Second Quarter 2026 Results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 xml:space="preserve">2Q26 revenues of $901.6 million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2Q26 net income of $89.1 million,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$155.5 million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2Q26 diluted GAAP EPS of $0.97, non-GAAP</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EPS of $1.07</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Announced the sale of the medical business, enabling increased focus on core nuclear national defense and commercial nuclear power markets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 xml:space="preserve">Closed the acquisition of Precision Components Group, LLC (PCG) on July 1, 2026, establishing a U.S. footprint for commercial nuclear component manufacturing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2"/>
        </w:rPr>
        <w:t>Raising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guidance to $662 million-$672 million, non-GAAP EPS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guidance to $4.70-$4.80, and free cash flow</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guidance to $345 million-$360 million</w:t>
      </w:r>
    </w:p>
    <w:p>
      <w:pPr>
        <w:pStyle w:val="TextBody"/>
        <w:bidi w:val="0"/>
        <w:spacing w:before="120" w:after="283"/>
        <w:jc w:val="left"/>
        <w:rPr/>
      </w:pPr>
      <w:r>
        <w:rPr/>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(LYNCHBURG, Va. - Aug. 3, 2026) BWX Technologies, Inc. (NYSE: BWXT) ("BWXT", "we", "us" or the "Company") reported second quarter 2026 results. A reconciliation of non-GAAP results is detailed in Exhibit 1.</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We had strong second quarter 2026 results that were ahead of our expectations,” said Rex. D. Geveden, president and chief executive officer. “Once again we saw strong execution across our business, high growth in Commercial Operations, and good free cash flow generation.”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Demand for new nuclear solutions is remarkably deep and broad, complementing our strong and growing base of highly predictable revenue streams in our Government and Commercial segments,” continued Geveden. “In line with our strategy to bolster BWXT’s competitive positioning in the nuclear national security and commercial nuclear power markets, the announced sale of our medical business enables us to increase focus and resources in these core business lines. This strategy is already in action through our commercial manufacturing expansion in the U.S. and ongoing investments to drive capacity and modernization across our manufacturing footprint.”</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Reflecting our strong first half performance, contribution from the recently completed PCG acquisition, and confidence in our execution over the remainder of the year, we are raising our 2026 financial guidance,” said Geveden. “We now anticipate adjusted EBITDA of $662 million-$672 million, non-GAAP EPS of $4.70-$4.80, and $345 million-$360 million of free cash flow.”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8925"/>
                <wp:effectExtent l="0" t="0" r="0" b="0"/>
                <wp:wrapNone/>
                <wp:docPr id="4" name="Frame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240" w:after="283"/>
        <w:jc w:val="both"/>
        <w:rPr>
          <w:rFonts w:ascii="Arial;sans-serif" w:hAnsi="Arial;sans-serif"/>
          <w:b/>
          <w:i/>
          <w:color w:val="000000"/>
          <w:sz w:val="22"/>
        </w:rPr>
      </w:pPr>
      <w:r>
        <w:rPr>
          <w:rFonts w:ascii="Arial;sans-serif" w:hAnsi="Arial;sans-serif"/>
          <w:b/>
          <w:i/>
          <w:color w:val="000000"/>
          <w:sz w:val="22"/>
        </w:rPr>
        <w:t>Financial Results Summary</w:t>
      </w:r>
    </w:p>
    <w:tbl>
      <w:tblPr>
        <w:tblW w:w="8830" w:type="dxa"/>
        <w:jc w:val="left"/>
        <w:tblInd w:w="0" w:type="dxa"/>
        <w:tblLayout w:type="fixed"/>
        <w:tblCellMar>
          <w:top w:w="28" w:type="dxa"/>
          <w:left w:w="28" w:type="dxa"/>
          <w:bottom w:w="28" w:type="dxa"/>
          <w:right w:w="28" w:type="dxa"/>
        </w:tblCellMar>
      </w:tblPr>
      <w:tblGrid>
        <w:gridCol w:w="1228"/>
        <w:gridCol w:w="1078"/>
        <w:gridCol w:w="1084"/>
        <w:gridCol w:w="109"/>
        <w:gridCol w:w="109"/>
        <w:gridCol w:w="109"/>
        <w:gridCol w:w="230"/>
        <w:gridCol w:w="721"/>
        <w:gridCol w:w="111"/>
        <w:gridCol w:w="111"/>
        <w:gridCol w:w="111"/>
        <w:gridCol w:w="111"/>
        <w:gridCol w:w="230"/>
        <w:gridCol w:w="721"/>
        <w:gridCol w:w="111"/>
        <w:gridCol w:w="109"/>
        <w:gridCol w:w="109"/>
        <w:gridCol w:w="109"/>
        <w:gridCol w:w="226"/>
        <w:gridCol w:w="706"/>
        <w:gridCol w:w="109"/>
        <w:gridCol w:w="109"/>
        <w:gridCol w:w="109"/>
        <w:gridCol w:w="109"/>
        <w:gridCol w:w="281"/>
        <w:gridCol w:w="281"/>
        <w:gridCol w:w="399"/>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br/>
              <w:t>(In millions, except per share amounts)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72%</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18%</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254%</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Unallocated Corporate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Consolidated non-GAAP</w:t>
            </w: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EPS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w:t>
            </w: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w:t>
            </w: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2"/>
              </w:rPr>
              <w:t>Adjusted EBITDA</w:t>
            </w:r>
            <w:r>
              <w:rPr>
                <w:rFonts w:ascii="Arial;sans-serif" w:hAnsi="Arial;sans-serif"/>
                <w:b/>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123%</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116%</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Operating Cash Flow</w:t>
            </w: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Capital Expenditures</w:t>
            </w: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27%</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Free Cash Flow</w:t>
            </w: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w:t>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Dividends Paid</w:t>
            </w: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NM = Not Meaningful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(2) Items named in the Financial Results Summary differ from names in BWXT Financial Statement. Operating Cash Flow = Net Cash Provided by Operating Activities; Capital Expenditures = Purchases of Property, Plant and Equipment; Dividends Paid = Dividends Paid to Common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Revenues</w:t>
      </w:r>
    </w:p>
    <w:p>
      <w:pPr>
        <w:pStyle w:val="TextBody"/>
        <w:bidi w:val="0"/>
        <w:spacing w:lineRule="auto" w:line="288" w:before="0" w:after="0"/>
        <w:jc w:val="left"/>
        <w:rPr/>
      </w:pPr>
      <w:r>
        <w:rPr>
          <w:rFonts w:ascii="Arial;sans-serif" w:hAnsi="Arial;sans-serif"/>
          <w:b w:val="false"/>
          <w:color w:val="000000"/>
          <w:sz w:val="22"/>
          <w:shd w:fill="FFFFFF" w:val="clear"/>
        </w:rPr>
        <w:t>Second quarter revenue increased in both operating segm</w:t>
      </w:r>
      <w:r>
        <w:rPr>
          <w:rFonts w:ascii="Arial;sans-serif" w:hAnsi="Arial;sans-serif"/>
          <w:b w:val="false"/>
          <w:color w:val="000000"/>
          <w:sz w:val="22"/>
        </w:rPr>
        <w:t xml:space="preserve">ents. The Government Operations increase was driven by growth in naval propulsion and special materials, partially offset lower advanced nuclear volumes. The Commercial Operations increase was driven by growth in commercial nuclear components, field services, fuel handling, medical, and contribution from Kinectrics, partially offset by slightly lower fuel revenue.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2"/>
        </w:rPr>
        <w:t>Operating Income and Adjusted EBITDA</w:t>
      </w:r>
      <w:r>
        <w:rPr>
          <w:rFonts w:ascii="Arial;sans-serif" w:hAnsi="Arial;sans-serif"/>
          <w:b/>
          <w:i/>
          <w:color w:val="000000"/>
          <w:sz w:val="14"/>
        </w:rPr>
        <w:t>(1)</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Second quarter GAAP operating income increased primarily due to growth in Commercial Operations, partially offset by lower Government Operations and higher corporate expense.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2"/>
        </w:rPr>
        <w:t>Second quarter non-GAAP</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operating income increased driven by growth in Commercial Operations, partially offset by lower Government Operations and higher corporate expense. The Commercial Operations increase was driven by higher revenue and solid operational performance, partially offset by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8925"/>
                <wp:effectExtent l="0" t="0" r="0" b="0"/>
                <wp:wrapNone/>
                <wp:docPr id="5" name="Frame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SG&amp;A investment to support growth. The decrease in Government Operations was driven by higher positive contract adjustments in the same quarter last year and less favorable mix, partially offset by higher technical services equity income.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2"/>
        </w:rPr>
        <w:t>Second quarter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increased due to higher non-GAAP</w:t>
      </w:r>
      <w:r>
        <w:rPr>
          <w:rFonts w:ascii="Arial;sans-serif" w:hAnsi="Arial;sans-serif"/>
          <w:b w:val="false"/>
          <w:color w:val="000000"/>
          <w:sz w:val="14"/>
        </w:rPr>
        <w:t xml:space="preserve">(1) </w:t>
      </w:r>
      <w:r>
        <w:rPr>
          <w:rFonts w:ascii="Arial;sans-serif" w:hAnsi="Arial;sans-serif"/>
          <w:b w:val="false"/>
          <w:color w:val="000000"/>
          <w:sz w:val="22"/>
        </w:rPr>
        <w:t>operating income as discussed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EPS</w:t>
      </w:r>
    </w:p>
    <w:p>
      <w:pPr>
        <w:pStyle w:val="TextBody"/>
        <w:bidi w:val="0"/>
        <w:spacing w:lineRule="auto" w:line="288" w:before="0" w:after="0"/>
        <w:jc w:val="left"/>
        <w:rPr/>
      </w:pPr>
      <w:r>
        <w:rPr>
          <w:rFonts w:ascii="Arial;sans-serif" w:hAnsi="Arial;sans-serif"/>
          <w:b w:val="false"/>
          <w:color w:val="000000"/>
          <w:sz w:val="22"/>
        </w:rPr>
        <w:t>Second quarter GAAP and non-GAAP</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EPS increased as higher operating income and lower interest expense were partially offset by lower other income and a higher tax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r>
        <w:rPr>
          <w:rFonts w:ascii="Arial;sans-serif" w:hAnsi="Arial;sans-serif"/>
          <w:b/>
          <w:i/>
          <w:color w:val="000000"/>
          <w:sz w:val="22"/>
        </w:rPr>
        <w:t>Cash Flows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Second quarter operating cash flow was modestly lower as higher net income, an increase in advanced billings, and good working capital management were offset by timing of income tax payments. Capital expenditures increased mainly due to timing of various growth projects, primarily in Commercial Operations.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2"/>
        </w:rPr>
      </w:pPr>
      <w:r>
        <w:rPr>
          <w:rFonts w:ascii="Arial;sans-serif" w:hAnsi="Arial;sans-serif"/>
          <w:b/>
          <w:i/>
          <w:color w:val="000000"/>
          <w:sz w:val="22"/>
        </w:rPr>
        <w:t>Dividend</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BWXT paid $24.7 million, or $0.27 per common share, to shareholders in the second quarter of 2026. On July 31, 2026, the BWXT Board of Directors declared a quarterly cash dividend of $0.27 per common share payable on September 4, 2026, to shareholders of record on August 18, 2026.</w:t>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2026 Guidance</w:t>
      </w:r>
    </w:p>
    <w:p>
      <w:pPr>
        <w:pStyle w:val="TextBody"/>
        <w:bidi w:val="0"/>
        <w:spacing w:lineRule="auto" w:line="288" w:before="0" w:after="0"/>
        <w:jc w:val="left"/>
        <w:rPr/>
      </w:pPr>
      <w:r>
        <w:rPr>
          <w:rFonts w:ascii="Arial;sans-serif" w:hAnsi="Arial;sans-serif"/>
          <w:b w:val="false"/>
          <w:color w:val="000000"/>
          <w:sz w:val="22"/>
        </w:rPr>
        <w:t>BWXT raised its 2026 guidance for revenue, adjusted EBITDA, non-GAAP EPS</w:t>
      </w:r>
      <w:r>
        <w:rPr>
          <w:rFonts w:ascii="Arial;sans-serif" w:hAnsi="Arial;sans-serif"/>
          <w:b w:val="false"/>
          <w:color w:val="000000"/>
          <w:sz w:val="14"/>
        </w:rPr>
        <w:t>(1)</w:t>
      </w:r>
      <w:r>
        <w:rPr>
          <w:rFonts w:ascii="Arial;sans-serif" w:hAnsi="Arial;sans-serif"/>
          <w:b w:val="false"/>
          <w:color w:val="000000"/>
          <w:sz w:val="22"/>
        </w:rPr>
        <w:t>, and free cash flow</w:t>
      </w:r>
      <w:r>
        <w:rPr>
          <w:rFonts w:ascii="Arial;sans-serif" w:hAnsi="Arial;sans-serif"/>
          <w:b w:val="false"/>
          <w:color w:val="000000"/>
          <w:sz w:val="14"/>
        </w:rPr>
        <w:t>(1)</w:t>
      </w:r>
      <w:r>
        <w:rPr>
          <w:rFonts w:ascii="Arial;sans-serif" w:hAnsi="Arial;sans-serif"/>
          <w:b w:val="false"/>
          <w:color w:val="000000"/>
          <w:sz w:val="22"/>
        </w:rPr>
        <w:t>. 2026 guidance includes contribution from the Precision Components Group, LLC acquisition, which closed on July 1, 2026.</w:t>
      </w:r>
    </w:p>
    <w:p>
      <w:pPr>
        <w:pStyle w:val="TextBody"/>
        <w:bidi w:val="0"/>
        <w:spacing w:before="0" w:after="0"/>
        <w:jc w:val="left"/>
        <w:rPr/>
      </w:pPr>
      <w:r>
        <w:rPr/>
      </w:r>
    </w:p>
    <w:tbl>
      <w:tblPr>
        <w:tblW w:w="9288" w:type="dxa"/>
        <w:jc w:val="left"/>
        <w:tblInd w:w="0" w:type="dxa"/>
        <w:tblLayout w:type="fixed"/>
        <w:tblCellMar>
          <w:top w:w="28" w:type="dxa"/>
          <w:left w:w="28" w:type="dxa"/>
          <w:bottom w:w="28" w:type="dxa"/>
          <w:right w:w="28" w:type="dxa"/>
        </w:tblCellMar>
      </w:tblPr>
      <w:tblGrid>
        <w:gridCol w:w="1162"/>
        <w:gridCol w:w="1022"/>
        <w:gridCol w:w="1026"/>
        <w:gridCol w:w="109"/>
        <w:gridCol w:w="109"/>
        <w:gridCol w:w="109"/>
        <w:gridCol w:w="524"/>
        <w:gridCol w:w="524"/>
        <w:gridCol w:w="527"/>
        <w:gridCol w:w="109"/>
        <w:gridCol w:w="109"/>
        <w:gridCol w:w="109"/>
        <w:gridCol w:w="524"/>
        <w:gridCol w:w="524"/>
        <w:gridCol w:w="527"/>
        <w:gridCol w:w="109"/>
        <w:gridCol w:w="109"/>
        <w:gridCol w:w="109"/>
        <w:gridCol w:w="524"/>
        <w:gridCol w:w="524"/>
        <w:gridCol w:w="527"/>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Year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Year Ending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December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Current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 Guidance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$3,198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~$3,800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&gt;$3,750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$662 - $672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$650 - $665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Non-GAAP</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$4.70 - $4.80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$4.60 - $4.75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$345 - $360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$315 - $330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2"/>
        </w:rPr>
        <w:t xml:space="preserve">Additional information can be found in the second quarter 2026 earnings call presentation on the BWXT investor relations website at </w:t>
      </w:r>
      <w:r>
        <w:rPr>
          <w:rFonts w:ascii="Arial;sans-serif" w:hAnsi="Arial;sans-serif"/>
          <w:b w:val="false"/>
          <w:color w:val="0563C1"/>
          <w:sz w:val="22"/>
          <w:u w:val="single"/>
        </w:rPr>
        <w:t>www.bwxt.com/investors</w:t>
      </w:r>
      <w:r>
        <w:rPr>
          <w:rFonts w:ascii="Arial;sans-serif" w:hAnsi="Arial;sans-serif"/>
          <w:b w:val="false"/>
          <w:color w:val="000000"/>
          <w:sz w:val="22"/>
        </w:rPr>
        <w:t>. The Company does not provide GAAP guidance because it is unable to reliably forecast most of the items that are excluded from GAAP to calculate non-GAAP results. These items could cause GAAP results to differ materially from non-GAAP results.</w:t>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Conference Call to Discuss Second Quarter 2026 Results</w:t>
      </w:r>
    </w:p>
    <w:p>
      <w:pPr>
        <w:pStyle w:val="TextBody"/>
        <w:bidi w:val="0"/>
        <w:spacing w:lineRule="auto" w:line="288" w:before="0" w:after="0"/>
        <w:jc w:val="left"/>
        <w:rPr/>
      </w:pPr>
      <w:r>
        <w:rPr>
          <w:rFonts w:ascii="Arial;sans-serif" w:hAnsi="Arial;sans-serif"/>
          <w:b/>
          <w:color w:val="000000"/>
          <w:sz w:val="22"/>
        </w:rPr>
        <w:t>Date:</w:t>
      </w:r>
      <w:r>
        <w:rPr>
          <w:color w:val="000000"/>
        </w:rPr>
        <w:t xml:space="preserve"> </w:t>
      </w:r>
      <w:r>
        <w:rPr>
          <w:rFonts w:ascii="Arial;sans-serif" w:hAnsi="Arial;sans-serif"/>
          <w:b w:val="false"/>
          <w:color w:val="000000"/>
          <w:sz w:val="22"/>
        </w:rPr>
        <w:t>Monday, August 3, 2026, at 5:00 p.m. EDT</w:t>
      </w:r>
    </w:p>
    <w:p>
      <w:pPr>
        <w:pStyle w:val="TextBody"/>
        <w:bidi w:val="0"/>
        <w:spacing w:lineRule="auto" w:line="288" w:before="0" w:after="0"/>
        <w:jc w:val="left"/>
        <w:rPr/>
      </w:pPr>
      <w:r>
        <w:rPr>
          <w:rFonts w:ascii="Arial;sans-serif" w:hAnsi="Arial;sans-serif"/>
          <w:b/>
          <w:color w:val="000000"/>
          <w:sz w:val="22"/>
        </w:rPr>
        <w:t>Live Webcast:</w:t>
      </w:r>
      <w:r>
        <w:rPr>
          <w:color w:val="000000"/>
        </w:rPr>
        <w:t xml:space="preserve"> </w:t>
      </w:r>
      <w:r>
        <w:rPr>
          <w:rFonts w:ascii="Arial;sans-serif" w:hAnsi="Arial;sans-serif"/>
          <w:b w:val="false"/>
          <w:color w:val="000000"/>
          <w:sz w:val="22"/>
        </w:rPr>
        <w:t xml:space="preserve">Investor Relations section of website at </w:t>
      </w:r>
      <w:r>
        <w:rPr>
          <w:rFonts w:ascii="Arial;sans-serif" w:hAnsi="Arial;sans-serif"/>
          <w:b w:val="false"/>
          <w:color w:val="0563C1"/>
          <w:sz w:val="22"/>
          <w:u w:val="single"/>
        </w:rPr>
        <w:t>www.bwxt.com</w:t>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 xml:space="preserve">Full Earnings Release Available on BWXT Website </w:t>
      </w:r>
    </w:p>
    <w:p>
      <w:pPr>
        <w:pStyle w:val="TextBody"/>
        <w:bidi w:val="0"/>
        <w:spacing w:lineRule="auto" w:line="276" w:before="0" w:after="0"/>
        <w:jc w:val="left"/>
        <w:rPr/>
      </w:pPr>
      <w:r>
        <w:rPr>
          <w:rFonts w:ascii="Arial;sans-serif" w:hAnsi="Arial;sans-serif"/>
          <w:b w:val="false"/>
          <w:color w:val="000000"/>
          <w:sz w:val="22"/>
        </w:rPr>
        <w:t xml:space="preserve">A full version of this earnings release is available on our Investor Relations website at </w:t>
      </w:r>
      <w:r>
        <w:rPr>
          <w:rFonts w:ascii="Arial;sans-serif" w:hAnsi="Arial;sans-serif"/>
          <w:b w:val="false"/>
          <w:color w:val="0563C1"/>
          <w:sz w:val="22"/>
          <w:u w:val="single"/>
        </w:rPr>
        <w:t>http://investors.bwxt.com/2Q2026-release</w:t>
      </w:r>
      <w:r>
        <w:rPr>
          <w:rFonts w:ascii="Arial;sans-serif" w:hAnsi="Arial;sans-serif"/>
          <w:b w:val="false"/>
          <w:color w:val="000000"/>
          <w:sz w:val="22"/>
        </w:rPr>
        <w:t>.</w:t>
      </w:r>
    </w:p>
    <w:p>
      <w:pPr>
        <w:pStyle w:val="TextBody"/>
        <w:bidi w:val="0"/>
        <w:spacing w:lineRule="auto" w:line="288" w:before="240" w:after="283"/>
        <w:jc w:val="left"/>
        <w:rPr/>
      </w:pPr>
      <w:r>
        <w:rPr>
          <w:rFonts w:ascii="Arial;sans-serif" w:hAnsi="Arial;sans-serif"/>
          <w:b w:val="false"/>
          <w:color w:val="000000"/>
          <w:sz w:val="22"/>
        </w:rPr>
        <w:t xml:space="preserve">BWXT may use its website (www.bwxt.com) as a channel of distribution of material Company information. Financial and other important information regarding BWXT is routinely accessible through and posted on our website. In addition, you may elect to automatically receive e-mail alerts and other information about BWXT by enrolling through the “Email Alerts” section of our website at </w:t>
      </w:r>
      <w:r>
        <w:rPr>
          <w:rFonts w:ascii="Arial;sans-serif" w:hAnsi="Arial;sans-serif"/>
          <w:b w:val="false"/>
          <w:color w:val="0563C1"/>
          <w:sz w:val="22"/>
          <w:u w:val="single"/>
        </w:rPr>
        <w:t>http://investors.bwxt.com.</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8925"/>
                <wp:effectExtent l="0" t="0" r="0" b="0"/>
                <wp:wrapNone/>
                <wp:docPr id="6" name="Frame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Non-GAAP Measures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BWXT uses and makes reference to adjusted EBITDA, non-GAAP EPS, free cash flow and free cash flow conversion, which are not recognized measures under GAAP. BWXT is providing these non-GAAP measures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 Definitions for the non-GAAP measures are provided below and reconciliations are detailed in Exhibit 1, except that reconciliations of forward-looking GAAP measures are not provided because the company is unable to reliably forecast most of the items that are excluded from GAAP to calculate non-GAAP results. Other companies may define these measures differently or may utilize different non-GAAP measures, thus impacting comparability.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Non-GAAP Earnings Per Share (EPS) is calculated using GAAP EPS less the non-operational tax effected per share impact of pension &amp; OPEB mark-to-market gains or losses and other one-time items, such as restructuring, transformation, acquisition-related costs, and acquisition-related amortization.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Adjusted Earnings Before Interest, Taxes, Depreciation and Amortization (EBITDA) is calculated using non-GAAP net income, plus provision for income taxes, less other – net, less interest income, plus interest expense, plus depreciation and amortization.</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Adjusted pre-tax income is non-GAAP income before provision for income taxes.</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Free Cash Flow (FCF) is calculated using net income to derive net cash provided by (used in) operating activities less purchases of property, plant and equipment.</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Free Cash Flow conversion is free cash flow divided by net income.</w:t>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Non-GAAP Adjustments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Our GAAP financial results detailed in Exhibit 1 have been adjusted for the following items:</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Restructuring and Transformation Costs: Restructuring and transformation costs include restructuring charges as well as costs associated with our efforts to optimize underlying business processes through investments in information technology, process improvements and the implementation of strategic actions and initiatives which we deem to be incremental and non-recurring in nature.</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Acquisition-related Costs: Acquisition-related costs relate to third-party professional service costs and one-time incremental costs associated with due diligence activities and efforts to integrate the acquired business with our legacy operations.</w:t>
      </w:r>
    </w:p>
    <w:p>
      <w:pPr>
        <w:pStyle w:val="TextBody"/>
        <w:bidi w:val="0"/>
        <w:spacing w:lineRule="auto" w:line="288" w:before="240" w:after="283"/>
        <w:jc w:val="left"/>
        <w:rPr>
          <w:rFonts w:ascii="Arial;sans-serif" w:hAnsi="Arial;sans-serif"/>
          <w:b/>
          <w:i/>
          <w:color w:val="000000"/>
          <w:sz w:val="22"/>
        </w:rPr>
      </w:pPr>
      <w:r>
        <w:rPr>
          <w:rFonts w:ascii="Arial;sans-serif" w:hAnsi="Arial;sans-serif"/>
          <w:b/>
          <w:i/>
          <w:color w:val="000000"/>
          <w:sz w:val="22"/>
        </w:rPr>
        <w:t>Forward-Looking Statements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BWXT cautions that this release contains forward-looking statements, including, without limitation, statements relating to backlog, to the extent they may be viewed as an indicator of future revenues; our plans and expectations for each of our reportable segments, including growth opportunities and the expectations, timing and revenue of our strategic initiatives, such as medical radioisotopes, SMR components and recent acquisitions; disruptions to our supply chain and/or operations, changes in government regulations and other factors; and our expectations and guidance for 2026 and beyond. These forward-looking statements are based on management’s current expectations and involve a number of risks and uncertainties, including, among other things, our ability to execute contracts in backlog; federal budget uncertainty, the risk of future budget cuts, the impact of continuing resolution funding mechanisms and the debt ceiling, the potential for government shutdowns and changing funding and acquisition priorities; the demand for and competitiveness of nuclear products and services; capital priorities of power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8925"/>
                <wp:effectExtent l="0" t="0" r="0" b="0"/>
                <wp:wrapNone/>
                <wp:docPr id="7" name="Frame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generating utilities and other customers; the timing of technology development, regulatory approvals and automation of production; the receipt and/or timing of government approvals; the potential recurrence of subsequent waves or strains of COVID-19 or similar diseases; labor market challenges, including employee retention and recruitment; adverse changes in the industries in which we operate; and delays, changes or termination of contracts in backlog. If one or more of these risks or other risks materialize, actual results may vary materially from those expressed. For a more complete discussion of these and other risk factors, see BWXT’s filings with the Securities and Exchange Commission, including our annual report on Form 10-K for the year ended December 31, 2025 and subsequent Form 10-Q filings. BWXT cautions not to place undue reliance on these forward-looking statements, which speak only as of the date of this release, and undertakes no obligation to update or revise any forward-looking statement, except to the extent required by applicable law.</w:t>
      </w:r>
    </w:p>
    <w:p>
      <w:pPr>
        <w:pStyle w:val="TextBody"/>
        <w:bidi w:val="0"/>
        <w:spacing w:lineRule="auto" w:line="288" w:before="240" w:after="283"/>
        <w:jc w:val="both"/>
        <w:rPr>
          <w:rFonts w:ascii="Arial;sans-serif" w:hAnsi="Arial;sans-serif"/>
          <w:b/>
          <w:i/>
          <w:color w:val="000000"/>
          <w:sz w:val="22"/>
        </w:rPr>
      </w:pPr>
      <w:r>
        <w:rPr>
          <w:rFonts w:ascii="Arial;sans-serif" w:hAnsi="Arial;sans-serif"/>
          <w:b/>
          <w:i/>
          <w:color w:val="000000"/>
          <w:sz w:val="22"/>
        </w:rPr>
        <w:t>About BWXT</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At BWX Technologies, Inc. (NYSE: BWXT), we are People Strong, Innovation Driven. A U.S.-based company with more than 11,000 employees, BWXT is a Fortune 1000 and Defense News Top 100 manufacturing and engineering innovator that provides safe and effective nuclear solutions for global security, clean energy, nuclear medicine, space exploration and environmental restoration. BWXT owns and operates 19 manufacturing facilities globally, and its 14 strategic partnerships support the U.S. and Canadian governments at more than two dozen additional locations.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 xml:space="preserve">For more information, visit </w:t>
      </w:r>
      <w:r>
        <w:rPr>
          <w:rFonts w:ascii="Arial;sans-serif" w:hAnsi="Arial;sans-serif"/>
          <w:b w:val="false"/>
          <w:color w:val="0000FF"/>
          <w:sz w:val="22"/>
          <w:u w:val="single"/>
        </w:rPr>
        <w:t>www.bwxt.com</w:t>
      </w:r>
      <w:r>
        <w:rPr>
          <w:rFonts w:ascii="Arial;sans-serif" w:hAnsi="Arial;sans-serif"/>
          <w:b w:val="false"/>
          <w:color w:val="000000"/>
          <w:sz w:val="22"/>
        </w:rPr>
        <w:t xml:space="preserve">. Follow us on </w:t>
      </w:r>
      <w:r>
        <w:rPr>
          <w:rFonts w:ascii="Arial;sans-serif" w:hAnsi="Arial;sans-serif"/>
          <w:b w:val="false"/>
          <w:color w:val="0000FF"/>
          <w:sz w:val="22"/>
          <w:u w:val="single"/>
        </w:rPr>
        <w:t>LinkedIn</w:t>
      </w:r>
      <w:r>
        <w:rPr>
          <w:rFonts w:ascii="Arial;sans-serif" w:hAnsi="Arial;sans-serif"/>
          <w:b w:val="false"/>
          <w:color w:val="000000"/>
          <w:sz w:val="22"/>
        </w:rPr>
        <w:t xml:space="preserve">, </w:t>
      </w:r>
      <w:r>
        <w:rPr>
          <w:rFonts w:ascii="Arial;sans-serif" w:hAnsi="Arial;sans-serif"/>
          <w:b w:val="false"/>
          <w:color w:val="0000FF"/>
          <w:sz w:val="22"/>
          <w:u w:val="single"/>
        </w:rPr>
        <w:t>X</w:t>
      </w:r>
      <w:r>
        <w:rPr>
          <w:rFonts w:ascii="Arial;sans-serif" w:hAnsi="Arial;sans-serif"/>
          <w:b w:val="false"/>
          <w:color w:val="000000"/>
          <w:sz w:val="22"/>
        </w:rPr>
        <w:t xml:space="preserve">, </w:t>
      </w:r>
      <w:r>
        <w:rPr>
          <w:rFonts w:ascii="Arial;sans-serif" w:hAnsi="Arial;sans-serif"/>
          <w:b w:val="false"/>
          <w:color w:val="0000FF"/>
          <w:sz w:val="22"/>
          <w:u w:val="single"/>
        </w:rPr>
        <w:t>Facebook</w:t>
      </w:r>
      <w:r>
        <w:rPr>
          <w:color w:val="000000"/>
        </w:rPr>
        <w:t xml:space="preserve"> </w:t>
      </w:r>
      <w:r>
        <w:rPr>
          <w:rFonts w:ascii="Arial;sans-serif" w:hAnsi="Arial;sans-serif"/>
          <w:b w:val="false"/>
          <w:color w:val="000000"/>
          <w:sz w:val="22"/>
        </w:rPr>
        <w:t xml:space="preserve">and </w:t>
      </w:r>
      <w:r>
        <w:rPr>
          <w:rFonts w:ascii="Arial;sans-serif" w:hAnsi="Arial;sans-serif"/>
          <w:b w:val="false"/>
          <w:color w:val="0000FF"/>
          <w:sz w:val="22"/>
          <w:u w:val="single"/>
        </w:rPr>
        <w:t>Instagram</w:t>
      </w:r>
      <w:r>
        <w:rPr>
          <w:rFonts w:ascii="Arial;sans-serif" w:hAnsi="Arial;sans-serif"/>
          <w:b w:val="false"/>
          <w:color w:val="000000"/>
          <w:sz w:val="22"/>
        </w:rPr>
        <w:t>.</w:t>
      </w:r>
    </w:p>
    <w:p>
      <w:pPr>
        <w:pStyle w:val="TextBody"/>
        <w:bidi w:val="0"/>
        <w:spacing w:before="0" w:after="0"/>
        <w:jc w:val="both"/>
        <w:rPr/>
      </w:pPr>
      <w:r>
        <w:rPr/>
      </w:r>
    </w:p>
    <w:tbl>
      <w:tblPr>
        <w:tblW w:w="8514" w:type="dxa"/>
        <w:jc w:val="center"/>
        <w:tblInd w:w="0" w:type="dxa"/>
        <w:tblLayout w:type="fixed"/>
        <w:tblCellMar>
          <w:top w:w="28" w:type="dxa"/>
          <w:left w:w="28" w:type="dxa"/>
          <w:bottom w:w="28" w:type="dxa"/>
          <w:right w:w="28" w:type="dxa"/>
        </w:tblCellMar>
      </w:tblPr>
      <w:tblGrid>
        <w:gridCol w:w="634"/>
        <w:gridCol w:w="559"/>
        <w:gridCol w:w="559"/>
        <w:gridCol w:w="728"/>
        <w:gridCol w:w="728"/>
        <w:gridCol w:w="735"/>
        <w:gridCol w:w="109"/>
        <w:gridCol w:w="109"/>
        <w:gridCol w:w="109"/>
        <w:gridCol w:w="661"/>
        <w:gridCol w:w="661"/>
        <w:gridCol w:w="661"/>
        <w:gridCol w:w="661"/>
        <w:gridCol w:w="661"/>
        <w:gridCol w:w="939"/>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3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Media Contact:</w:t>
            </w:r>
          </w:p>
        </w:tc>
      </w:tr>
      <w:tr>
        <w:trPr/>
        <w:tc>
          <w:tcPr>
            <w:tcW w:w="3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Chase Jacobson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John Dobken</w:t>
            </w:r>
          </w:p>
        </w:tc>
      </w:tr>
      <w:tr>
        <w:trPr/>
        <w:tc>
          <w:tcPr>
            <w:tcW w:w="3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Vice President,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Manager, Media &amp; Public Relations</w:t>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980-365-4300</w:t>
            </w:r>
          </w:p>
        </w:tc>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2"/>
                <w:u w:val="single"/>
              </w:rPr>
            </w:pPr>
            <w:r>
              <w:rPr>
                <w:rFonts w:ascii="Arial;sans-serif" w:hAnsi="Arial;sans-serif"/>
                <w:b w:val="false"/>
                <w:color w:val="0000FF"/>
                <w:sz w:val="22"/>
                <w:u w:val="single"/>
              </w:rPr>
              <w:t>Investors@bwxt.com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202-428-6913</w:t>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2"/>
                <w:u w:val="single"/>
              </w:rPr>
            </w:pPr>
            <w:r>
              <w:rPr>
                <w:rFonts w:ascii="Arial;sans-serif" w:hAnsi="Arial;sans-serif"/>
                <w:b w:val="false"/>
                <w:color w:val="0000FF"/>
                <w:sz w:val="22"/>
                <w:u w:val="single"/>
              </w:rPr>
              <w:t>jcdobken@bwxt.com</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8925"/>
                <wp:effectExtent l="0" t="0" r="0" b="0"/>
                <wp:wrapNone/>
                <wp:docPr id="8" name="Frame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4"/>
          <w:u w:val="single"/>
          <w:shd w:fill="FFFFFF" w:val="clear"/>
        </w:rPr>
      </w:pPr>
      <w:r>
        <w:rPr>
          <w:rFonts w:ascii="Arial;sans-serif" w:hAnsi="Arial;sans-serif"/>
          <w:b/>
          <w:color w:val="000000"/>
          <w:sz w:val="24"/>
          <w:u w:val="single"/>
          <w:shd w:fill="FFFFFF" w:val="clear"/>
        </w:rPr>
        <w:t>EXHIBIT 1</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BWX TECHNOLOGIES, INC.</w:t>
      </w:r>
    </w:p>
    <w:p>
      <w:pPr>
        <w:pStyle w:val="TextBody"/>
        <w:bidi w:val="0"/>
        <w:spacing w:lineRule="auto" w:line="288" w:before="0" w:after="0"/>
        <w:jc w:val="center"/>
        <w:rPr>
          <w:shd w:fill="FFFFFF" w:val="clear"/>
        </w:rPr>
      </w:pPr>
      <w:r>
        <w:rPr>
          <w:rFonts w:ascii="Arial;sans-serif" w:hAnsi="Arial;sans-serif"/>
          <w:b/>
          <w:color w:val="000000"/>
          <w:sz w:val="20"/>
          <w:shd w:fill="FFFFFF" w:val="clear"/>
        </w:rPr>
        <w:t>RECONCILIATION OF NON-GAAP OPERATING INCOME AND EARNINGS PER SHARE</w:t>
      </w:r>
      <w:r>
        <w:rPr>
          <w:rFonts w:ascii="Arial;sans-serif" w:hAnsi="Arial;sans-serif"/>
          <w:b/>
          <w:color w:val="000000"/>
          <w:sz w:val="13"/>
          <w:shd w:fill="FFFFFF" w:val="clear"/>
        </w:rPr>
        <w:t>(1)(2)(3)</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millions, except per share amounts)</w:t>
      </w:r>
    </w:p>
    <w:tbl>
      <w:tblPr>
        <w:tblW w:w="10205" w:type="dxa"/>
        <w:jc w:val="left"/>
        <w:tblInd w:w="0" w:type="dxa"/>
        <w:tblLayout w:type="fixed"/>
        <w:tblCellMar>
          <w:top w:w="28" w:type="dxa"/>
          <w:left w:w="28" w:type="dxa"/>
          <w:bottom w:w="28" w:type="dxa"/>
          <w:right w:w="28" w:type="dxa"/>
        </w:tblCellMar>
      </w:tblPr>
      <w:tblGrid>
        <w:gridCol w:w="607"/>
        <w:gridCol w:w="443"/>
        <w:gridCol w:w="444"/>
        <w:gridCol w:w="196"/>
        <w:gridCol w:w="556"/>
        <w:gridCol w:w="109"/>
        <w:gridCol w:w="109"/>
        <w:gridCol w:w="109"/>
        <w:gridCol w:w="109"/>
        <w:gridCol w:w="437"/>
        <w:gridCol w:w="1041"/>
        <w:gridCol w:w="244"/>
        <w:gridCol w:w="109"/>
        <w:gridCol w:w="109"/>
        <w:gridCol w:w="109"/>
        <w:gridCol w:w="444"/>
        <w:gridCol w:w="1057"/>
        <w:gridCol w:w="247"/>
        <w:gridCol w:w="109"/>
        <w:gridCol w:w="109"/>
        <w:gridCol w:w="109"/>
        <w:gridCol w:w="109"/>
        <w:gridCol w:w="109"/>
        <w:gridCol w:w="464"/>
        <w:gridCol w:w="1104"/>
        <w:gridCol w:w="258"/>
        <w:gridCol w:w="109"/>
        <w:gridCol w:w="109"/>
        <w:gridCol w:w="109"/>
        <w:gridCol w:w="220"/>
        <w:gridCol w:w="626"/>
        <w:gridCol w:w="182"/>
      </w:tblGrid>
      <w:tr>
        <w:trPr/>
        <w:tc>
          <w:tcPr>
            <w:tcW w:w="60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8850"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1355" w:type="dxa"/>
            <w:gridSpan w:val="6"/>
            <w:tcBorders/>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 &amp; Transformation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Non-GAAP</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Operations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8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Operations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8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8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82"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8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Provision for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82"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8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82"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2"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BWXT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82"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Shares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8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8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r>
    </w:tbl>
    <w:tbl>
      <w:tblPr>
        <w:tblW w:w="10205" w:type="dxa"/>
        <w:jc w:val="left"/>
        <w:tblInd w:w="0" w:type="dxa"/>
        <w:tblLayout w:type="fixed"/>
        <w:tblCellMar>
          <w:top w:w="28" w:type="dxa"/>
          <w:left w:w="28" w:type="dxa"/>
          <w:bottom w:w="28" w:type="dxa"/>
          <w:right w:w="28" w:type="dxa"/>
        </w:tblCellMar>
      </w:tblPr>
      <w:tblGrid>
        <w:gridCol w:w="639"/>
        <w:gridCol w:w="475"/>
        <w:gridCol w:w="476"/>
        <w:gridCol w:w="196"/>
        <w:gridCol w:w="556"/>
        <w:gridCol w:w="109"/>
        <w:gridCol w:w="109"/>
        <w:gridCol w:w="109"/>
        <w:gridCol w:w="109"/>
        <w:gridCol w:w="453"/>
        <w:gridCol w:w="1079"/>
        <w:gridCol w:w="253"/>
        <w:gridCol w:w="109"/>
        <w:gridCol w:w="109"/>
        <w:gridCol w:w="109"/>
        <w:gridCol w:w="449"/>
        <w:gridCol w:w="1069"/>
        <w:gridCol w:w="250"/>
        <w:gridCol w:w="109"/>
        <w:gridCol w:w="109"/>
        <w:gridCol w:w="109"/>
        <w:gridCol w:w="474"/>
        <w:gridCol w:w="1128"/>
        <w:gridCol w:w="264"/>
        <w:gridCol w:w="109"/>
        <w:gridCol w:w="109"/>
        <w:gridCol w:w="109"/>
        <w:gridCol w:w="220"/>
        <w:gridCol w:w="626"/>
        <w:gridCol w:w="181"/>
      </w:tblGrid>
      <w:tr>
        <w:trPr/>
        <w:tc>
          <w:tcPr>
            <w:tcW w:w="6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 &amp; Transformation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Non-GAAP</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Operations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Operations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1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Provision for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93.2 </w:t>
            </w:r>
          </w:p>
        </w:tc>
        <w:tc>
          <w:tcPr>
            <w:tcW w:w="1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1"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BWXT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Shares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8925"/>
                <wp:effectExtent l="0" t="0" r="0" b="0"/>
                <wp:wrapNone/>
                <wp:docPr id="9" name="Frame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4"/>
          <w:u w:val="single"/>
          <w:shd w:fill="FFFFFF" w:val="clear"/>
        </w:rPr>
      </w:pPr>
      <w:r>
        <w:rPr>
          <w:rFonts w:ascii="Arial;sans-serif" w:hAnsi="Arial;sans-serif"/>
          <w:b/>
          <w:color w:val="000000"/>
          <w:sz w:val="24"/>
          <w:u w:val="single"/>
          <w:shd w:fill="FFFFFF" w:val="clear"/>
        </w:rPr>
        <w:t>EXHIBIT 1 (continued)</w:t>
      </w:r>
    </w:p>
    <w:p>
      <w:pPr>
        <w:pStyle w:val="TextBody"/>
        <w:bidi w:val="0"/>
        <w:spacing w:lineRule="auto" w:line="288" w:before="120" w:after="283"/>
        <w:jc w:val="center"/>
        <w:rPr>
          <w:shd w:fill="FFFFFF" w:val="clear"/>
        </w:rPr>
      </w:pPr>
      <w:r>
        <w:rPr>
          <w:rFonts w:ascii="Arial;sans-serif" w:hAnsi="Arial;sans-serif"/>
          <w:b/>
          <w:color w:val="000000"/>
          <w:sz w:val="20"/>
          <w:shd w:fill="FFFFFF" w:val="clear"/>
        </w:rPr>
        <w:t>RECONCILIATION OF CONSOLIDATED ADJUSTED EBITDA</w:t>
      </w:r>
      <w:r>
        <w:rPr>
          <w:rFonts w:ascii="Arial;sans-serif" w:hAnsi="Arial;sans-serif"/>
          <w:b/>
          <w:color w:val="000000"/>
          <w:sz w:val="13"/>
          <w:shd w:fill="FFFFFF" w:val="clear"/>
        </w:rPr>
        <w:t>(1)(2)(3)</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1"/>
        <w:gridCol w:w="344"/>
        <w:gridCol w:w="315"/>
        <w:gridCol w:w="211"/>
        <w:gridCol w:w="646"/>
        <w:gridCol w:w="109"/>
        <w:gridCol w:w="109"/>
        <w:gridCol w:w="109"/>
        <w:gridCol w:w="109"/>
        <w:gridCol w:w="474"/>
        <w:gridCol w:w="981"/>
        <w:gridCol w:w="247"/>
        <w:gridCol w:w="109"/>
        <w:gridCol w:w="109"/>
        <w:gridCol w:w="109"/>
        <w:gridCol w:w="469"/>
        <w:gridCol w:w="970"/>
        <w:gridCol w:w="243"/>
        <w:gridCol w:w="109"/>
        <w:gridCol w:w="109"/>
        <w:gridCol w:w="109"/>
        <w:gridCol w:w="109"/>
        <w:gridCol w:w="109"/>
        <w:gridCol w:w="489"/>
        <w:gridCol w:w="1010"/>
        <w:gridCol w:w="254"/>
        <w:gridCol w:w="109"/>
        <w:gridCol w:w="109"/>
        <w:gridCol w:w="109"/>
        <w:gridCol w:w="213"/>
        <w:gridCol w:w="652"/>
        <w:gridCol w:w="161"/>
      </w:tblGrid>
      <w:tr>
        <w:trPr/>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52"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1353" w:type="dxa"/>
            <w:gridSpan w:val="6"/>
            <w:tcBorders/>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 &amp; Transformation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Non-GAAP</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61"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6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61"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61"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61"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61"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61" w:type="dxa"/>
            <w:tcBorders>
              <w:top w:val="single" w:sz="8" w:space="0" w:color="000000"/>
              <w:bottom w:val="sing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3"/>
        <w:gridCol w:w="370"/>
        <w:gridCol w:w="343"/>
        <w:gridCol w:w="211"/>
        <w:gridCol w:w="646"/>
        <w:gridCol w:w="109"/>
        <w:gridCol w:w="109"/>
        <w:gridCol w:w="109"/>
        <w:gridCol w:w="109"/>
        <w:gridCol w:w="497"/>
        <w:gridCol w:w="1029"/>
        <w:gridCol w:w="259"/>
        <w:gridCol w:w="109"/>
        <w:gridCol w:w="109"/>
        <w:gridCol w:w="109"/>
        <w:gridCol w:w="476"/>
        <w:gridCol w:w="984"/>
        <w:gridCol w:w="247"/>
        <w:gridCol w:w="109"/>
        <w:gridCol w:w="109"/>
        <w:gridCol w:w="109"/>
        <w:gridCol w:w="504"/>
        <w:gridCol w:w="1041"/>
        <w:gridCol w:w="261"/>
        <w:gridCol w:w="109"/>
        <w:gridCol w:w="109"/>
        <w:gridCol w:w="109"/>
        <w:gridCol w:w="213"/>
        <w:gridCol w:w="652"/>
        <w:gridCol w:w="162"/>
      </w:tblGrid>
      <w:tr>
        <w:trPr/>
        <w:tc>
          <w:tcPr>
            <w:tcW w:w="89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 &amp; Transformation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Non-GAAP</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&amp;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145.9 </w:t>
            </w:r>
          </w:p>
        </w:tc>
        <w:tc>
          <w:tcPr>
            <w:tcW w:w="162" w:type="dxa"/>
            <w:tcBorders>
              <w:top w:val="single" w:sz="8" w:space="0" w:color="000000"/>
              <w:bottom w:val="sing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shd w:fill="FFFFFF" w:val="clear"/>
        </w:rPr>
      </w:pPr>
      <w:r>
        <w:rPr>
          <w:rFonts w:ascii="Arial;sans-serif" w:hAnsi="Arial;sans-serif"/>
          <w:b/>
          <w:color w:val="000000"/>
          <w:sz w:val="20"/>
          <w:shd w:fill="FFFFFF" w:val="clear"/>
        </w:rPr>
        <w:t>RECONCILIATION OF REPORTING SEGMENT ADJUSTED EBITDA</w:t>
      </w:r>
      <w:r>
        <w:rPr>
          <w:rFonts w:ascii="Arial;sans-serif" w:hAnsi="Arial;sans-serif"/>
          <w:b/>
          <w:color w:val="000000"/>
          <w:sz w:val="13"/>
          <w:shd w:fill="FFFFFF" w:val="clear"/>
        </w:rPr>
        <w:t>(1)(2)(3)(4)</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millions)</w:t>
      </w:r>
    </w:p>
    <w:tbl>
      <w:tblPr>
        <w:tblW w:w="10205" w:type="dxa"/>
        <w:jc w:val="left"/>
        <w:tblInd w:w="0" w:type="dxa"/>
        <w:tblLayout w:type="fixed"/>
        <w:tblCellMar>
          <w:top w:w="28" w:type="dxa"/>
          <w:left w:w="28" w:type="dxa"/>
          <w:bottom w:w="28" w:type="dxa"/>
          <w:right w:w="28" w:type="dxa"/>
        </w:tblCellMar>
      </w:tblPr>
      <w:tblGrid>
        <w:gridCol w:w="510"/>
        <w:gridCol w:w="447"/>
        <w:gridCol w:w="450"/>
        <w:gridCol w:w="269"/>
        <w:gridCol w:w="825"/>
        <w:gridCol w:w="139"/>
        <w:gridCol w:w="109"/>
        <w:gridCol w:w="109"/>
        <w:gridCol w:w="109"/>
        <w:gridCol w:w="389"/>
        <w:gridCol w:w="806"/>
        <w:gridCol w:w="203"/>
        <w:gridCol w:w="109"/>
        <w:gridCol w:w="109"/>
        <w:gridCol w:w="109"/>
        <w:gridCol w:w="518"/>
        <w:gridCol w:w="1072"/>
        <w:gridCol w:w="269"/>
        <w:gridCol w:w="109"/>
        <w:gridCol w:w="109"/>
        <w:gridCol w:w="109"/>
        <w:gridCol w:w="377"/>
        <w:gridCol w:w="966"/>
        <w:gridCol w:w="195"/>
        <w:gridCol w:w="109"/>
        <w:gridCol w:w="109"/>
        <w:gridCol w:w="109"/>
        <w:gridCol w:w="109"/>
        <w:gridCol w:w="109"/>
        <w:gridCol w:w="109"/>
        <w:gridCol w:w="235"/>
        <w:gridCol w:w="719"/>
        <w:gridCol w:w="181"/>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Income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Non-GAAP Adjustments</w:t>
            </w:r>
            <w:r>
              <w:rPr>
                <w:rFonts w:ascii="Arial;sans-serif" w:hAnsi="Arial;sans-serif"/>
                <w:b/>
                <w:color w:val="000000"/>
                <w:sz w:val="1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EBITDA</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81"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0"/>
        <w:gridCol w:w="229"/>
        <w:gridCol w:w="229"/>
        <w:gridCol w:w="229"/>
        <w:gridCol w:w="229"/>
        <w:gridCol w:w="231"/>
        <w:gridCol w:w="269"/>
        <w:gridCol w:w="825"/>
        <w:gridCol w:w="139"/>
        <w:gridCol w:w="109"/>
        <w:gridCol w:w="109"/>
        <w:gridCol w:w="109"/>
        <w:gridCol w:w="389"/>
        <w:gridCol w:w="806"/>
        <w:gridCol w:w="203"/>
        <w:gridCol w:w="109"/>
        <w:gridCol w:w="109"/>
        <w:gridCol w:w="109"/>
        <w:gridCol w:w="518"/>
        <w:gridCol w:w="1072"/>
        <w:gridCol w:w="269"/>
        <w:gridCol w:w="109"/>
        <w:gridCol w:w="109"/>
        <w:gridCol w:w="109"/>
        <w:gridCol w:w="377"/>
        <w:gridCol w:w="966"/>
        <w:gridCol w:w="195"/>
        <w:gridCol w:w="109"/>
        <w:gridCol w:w="109"/>
        <w:gridCol w:w="109"/>
        <w:gridCol w:w="109"/>
        <w:gridCol w:w="109"/>
        <w:gridCol w:w="109"/>
        <w:gridCol w:w="235"/>
        <w:gridCol w:w="719"/>
        <w:gridCol w:w="18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Income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Non-GAAP Adjustments</w:t>
            </w:r>
            <w:r>
              <w:rPr>
                <w:rFonts w:ascii="Arial;sans-serif" w:hAnsi="Arial;sans-serif"/>
                <w:b/>
                <w:color w:val="000000"/>
                <w:sz w:val="1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Acquisition-related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EBITDA</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4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81"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8925"/>
                <wp:effectExtent l="0" t="0" r="0" b="0"/>
                <wp:wrapNone/>
                <wp:docPr id="10" name="Frame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4"/>
          <w:u w:val="single"/>
          <w:shd w:fill="FFFFFF" w:val="clear"/>
        </w:rPr>
      </w:pPr>
      <w:r>
        <w:rPr>
          <w:rFonts w:ascii="Arial;sans-serif" w:hAnsi="Arial;sans-serif"/>
          <w:b/>
          <w:color w:val="000000"/>
          <w:sz w:val="24"/>
          <w:u w:val="single"/>
          <w:shd w:fill="FFFFFF" w:val="clear"/>
        </w:rPr>
        <w:t>EXHIBIT 1 (continued)</w:t>
      </w:r>
    </w:p>
    <w:p>
      <w:pPr>
        <w:pStyle w:val="TextBody"/>
        <w:bidi w:val="0"/>
        <w:spacing w:lineRule="auto" w:line="288" w:before="120" w:after="283"/>
        <w:jc w:val="center"/>
        <w:rPr>
          <w:shd w:fill="FFFFFF" w:val="clear"/>
        </w:rPr>
      </w:pPr>
      <w:r>
        <w:rPr>
          <w:rFonts w:ascii="Arial;sans-serif" w:hAnsi="Arial;sans-serif"/>
          <w:b/>
          <w:color w:val="000000"/>
          <w:sz w:val="20"/>
          <w:shd w:fill="FFFFFF" w:val="clear"/>
        </w:rPr>
        <w:t>RECONCILIATION OF CONSOLIDATED FREE CASH FLOW</w:t>
      </w:r>
      <w:r>
        <w:rPr>
          <w:rFonts w:ascii="Arial;sans-serif" w:hAnsi="Arial;sans-serif"/>
          <w:b/>
          <w:color w:val="000000"/>
          <w:sz w:val="13"/>
          <w:shd w:fill="FFFFFF" w:val="clear"/>
        </w:rPr>
        <w:t>(1)(2)(3)</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millions)</w:t>
      </w:r>
    </w:p>
    <w:tbl>
      <w:tblPr>
        <w:tblW w:w="5762" w:type="dxa"/>
        <w:jc w:val="left"/>
        <w:tblInd w:w="0" w:type="dxa"/>
        <w:tblLayout w:type="fixed"/>
        <w:tblCellMar>
          <w:top w:w="28" w:type="dxa"/>
          <w:left w:w="28" w:type="dxa"/>
          <w:bottom w:w="28" w:type="dxa"/>
          <w:right w:w="28" w:type="dxa"/>
        </w:tblCellMar>
      </w:tblPr>
      <w:tblGrid>
        <w:gridCol w:w="742"/>
        <w:gridCol w:w="652"/>
        <w:gridCol w:w="652"/>
        <w:gridCol w:w="652"/>
        <w:gridCol w:w="652"/>
        <w:gridCol w:w="652"/>
        <w:gridCol w:w="367"/>
        <w:gridCol w:w="1125"/>
        <w:gridCol w:w="268"/>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62" w:type="dxa"/>
        <w:jc w:val="left"/>
        <w:tblInd w:w="0" w:type="dxa"/>
        <w:tblLayout w:type="fixed"/>
        <w:tblCellMar>
          <w:top w:w="28" w:type="dxa"/>
          <w:left w:w="28" w:type="dxa"/>
          <w:bottom w:w="28" w:type="dxa"/>
          <w:right w:w="28" w:type="dxa"/>
        </w:tblCellMar>
      </w:tblPr>
      <w:tblGrid>
        <w:gridCol w:w="742"/>
        <w:gridCol w:w="652"/>
        <w:gridCol w:w="652"/>
        <w:gridCol w:w="652"/>
        <w:gridCol w:w="652"/>
        <w:gridCol w:w="652"/>
        <w:gridCol w:w="367"/>
        <w:gridCol w:w="1125"/>
        <w:gridCol w:w="268"/>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lineRule="auto" w:line="324"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45"/>
            <w:tcBorders>
              <w:right w:val="single" w:sz="8" w:space="0" w:color="000000"/>
            </w:tcBorders>
            <w:tcMar>
              <w:top w:w="0" w:type="dxa"/>
              <w:left w:w="0" w:type="dxa"/>
              <w:bottom w:w="0" w:type="dxa"/>
            </w:tcMar>
            <w:vAlign w:val="center"/>
          </w:tcPr>
          <w:p>
            <w:pPr>
              <w:pStyle w:val="TableContents"/>
              <w:bidi w:val="0"/>
              <w:spacing w:lineRule="auto" w:line="324" w:before="0" w:after="60"/>
              <w:ind w:left="0" w:right="0" w:hanging="360"/>
              <w:jc w:val="left"/>
              <w:rPr>
                <w:rFonts w:ascii="Arial;sans-serif" w:hAnsi="Arial;sans-serif"/>
                <w:b w:val="false"/>
                <w:color w:val="000000"/>
                <w:sz w:val="14"/>
              </w:rPr>
            </w:pPr>
            <w:r>
              <w:rPr>
                <w:rFonts w:ascii="Arial;sans-serif" w:hAnsi="Arial;sans-serif"/>
                <w:b w:val="false"/>
                <w:color w:val="000000"/>
                <w:sz w:val="14"/>
              </w:rPr>
              <w:t>Tables may not foot due to rounding.</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(2)</w:t>
            </w:r>
          </w:p>
        </w:tc>
        <w:tc>
          <w:tcPr>
            <w:tcW w:w="9863" w:type="dxa"/>
            <w:gridSpan w:val="45"/>
            <w:tcBorders>
              <w:right w:val="single" w:sz="8" w:space="0" w:color="000000"/>
            </w:tcBorders>
            <w:tcMar>
              <w:top w:w="0" w:type="dxa"/>
              <w:left w:w="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BWXT is providing non-GAAP information regarding certain of its historical results and guidance on future earnings per share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(3)</w:t>
            </w:r>
          </w:p>
        </w:tc>
        <w:tc>
          <w:tcPr>
            <w:tcW w:w="9863" w:type="dxa"/>
            <w:gridSpan w:val="45"/>
            <w:tcBorders>
              <w:right w:val="single" w:sz="8" w:space="0" w:color="000000"/>
            </w:tcBorders>
            <w:tcMar>
              <w:top w:w="0" w:type="dxa"/>
              <w:left w:w="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For Non-GAAP adjustment details, see reconciliation of non-GAAP operating income and earnings per share.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(4)</w:t>
            </w:r>
          </w:p>
        </w:tc>
        <w:tc>
          <w:tcPr>
            <w:tcW w:w="9863" w:type="dxa"/>
            <w:gridSpan w:val="45"/>
            <w:tcBorders>
              <w:right w:val="single" w:sz="8" w:space="0" w:color="000000"/>
            </w:tcBorders>
            <w:tcMar>
              <w:top w:w="0" w:type="dxa"/>
              <w:left w:w="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Excludes acquisition-related amortization</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8925"/>
                <wp:effectExtent l="0" t="0" r="0" b="0"/>
                <wp:wrapNone/>
                <wp:docPr id="11" name="Frame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BWX TECHNOLOGIES,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CONDENSED CONSOLIDATED STATEMENTS OF INCOME</w:t>
      </w:r>
    </w:p>
    <w:tbl>
      <w:tblPr>
        <w:tblW w:w="10205" w:type="dxa"/>
        <w:jc w:val="left"/>
        <w:tblInd w:w="0" w:type="dxa"/>
        <w:tblLayout w:type="fixed"/>
        <w:tblCellMar>
          <w:top w:w="28" w:type="dxa"/>
          <w:left w:w="28" w:type="dxa"/>
          <w:bottom w:w="28" w:type="dxa"/>
          <w:right w:w="28" w:type="dxa"/>
        </w:tblCellMar>
      </w:tblPr>
      <w:tblGrid>
        <w:gridCol w:w="1452"/>
        <w:gridCol w:w="1211"/>
        <w:gridCol w:w="1216"/>
        <w:gridCol w:w="109"/>
        <w:gridCol w:w="109"/>
        <w:gridCol w:w="109"/>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45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br/>
              <w:t>(In thousands, except share and per share amounts)</w:t>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1,282,376 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the computation of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91,720,867 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91,542,967 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91,692,421 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91,568,526 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92,007,253 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91,702,703 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91,957,928 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91,788,204 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8925"/>
                <wp:effectExtent l="0" t="0" r="0" b="0"/>
                <wp:wrapNone/>
                <wp:docPr id="12" name="Frame1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BWX TECHNOLOGIES,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04"/>
        <w:gridCol w:w="2250"/>
        <w:gridCol w:w="2258"/>
        <w:gridCol w:w="109"/>
        <w:gridCol w:w="109"/>
        <w:gridCol w:w="109"/>
        <w:gridCol w:w="211"/>
        <w:gridCol w:w="826"/>
        <w:gridCol w:w="109"/>
        <w:gridCol w:w="109"/>
        <w:gridCol w:w="109"/>
        <w:gridCol w:w="109"/>
        <w:gridCol w:w="211"/>
        <w:gridCol w:w="826"/>
        <w:gridCol w:w="156"/>
      </w:tblGrid>
      <w:tr>
        <w:trPr/>
        <w:tc>
          <w:tcPr>
            <w:tcW w:w="2704"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(Unaudited) (In thousands)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loss on asset disposals and impairments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(629,480)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8"/>
              </w:rPr>
            </w:pPr>
            <w:r>
              <w:rPr>
                <w:rFonts w:ascii="Arial;sans-serif" w:hAnsi="Arial;sans-serif"/>
                <w:b w:val="false"/>
                <w:color w:val="000000"/>
                <w:sz w:val="18"/>
              </w:rPr>
              <w:t>TOTAL INCREASE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88925"/>
                <wp:effectExtent l="0" t="0" r="0" b="0"/>
                <wp:wrapNone/>
                <wp:docPr id="13" name="Frame1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BWX TECHNOLOGIES,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ASSETS</w:t>
      </w:r>
    </w:p>
    <w:tbl>
      <w:tblPr>
        <w:tblW w:w="7010" w:type="dxa"/>
        <w:jc w:val="left"/>
        <w:tblInd w:w="0" w:type="dxa"/>
        <w:tblLayout w:type="fixed"/>
        <w:tblCellMar>
          <w:top w:w="28" w:type="dxa"/>
          <w:left w:w="28" w:type="dxa"/>
          <w:bottom w:w="28" w:type="dxa"/>
          <w:right w:w="28" w:type="dxa"/>
        </w:tblCellMar>
      </w:tblPr>
      <w:tblGrid>
        <w:gridCol w:w="1316"/>
        <w:gridCol w:w="1154"/>
        <w:gridCol w:w="1159"/>
        <w:gridCol w:w="109"/>
        <w:gridCol w:w="109"/>
        <w:gridCol w:w="109"/>
        <w:gridCol w:w="211"/>
        <w:gridCol w:w="1021"/>
        <w:gridCol w:w="109"/>
        <w:gridCol w:w="109"/>
        <w:gridCol w:w="109"/>
        <w:gridCol w:w="109"/>
        <w:gridCol w:w="211"/>
        <w:gridCol w:w="102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b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1,560,354 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4,271,495 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8925"/>
                <wp:effectExtent l="0" t="0" r="0" b="0"/>
                <wp:wrapNone/>
                <wp:docPr id="14" name="Frame1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BWX TECHNOLOGIES,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85"/>
        <w:gridCol w:w="2010"/>
        <w:gridCol w:w="2027"/>
        <w:gridCol w:w="109"/>
        <w:gridCol w:w="109"/>
        <w:gridCol w:w="109"/>
        <w:gridCol w:w="211"/>
        <w:gridCol w:w="1021"/>
        <w:gridCol w:w="109"/>
        <w:gridCol w:w="109"/>
        <w:gridCol w:w="109"/>
        <w:gridCol w:w="109"/>
        <w:gridCol w:w="211"/>
        <w:gridCol w:w="1021"/>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br/>
              <w:t>(In thousands, except share</w:t>
              <w:br/>
              <w:t>and per share amounts)</w:t>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672,017 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3,038,483 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8"/>
              </w:rPr>
            </w:pPr>
            <w:r>
              <w:rPr>
                <w:rFonts w:ascii="Arial;sans-serif" w:hAnsi="Arial;sans-serif"/>
                <w:b w:val="false"/>
                <w:color w:val="000000"/>
                <w:sz w:val="18"/>
              </w:rPr>
              <w:t>Common stock, par value $0.01 per share, authorized 325,000,000 shares; issued 129,006,562 and 128,720,819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18"/>
              </w:rPr>
            </w:pPr>
            <w:r>
              <w:rPr>
                <w:rFonts w:ascii="Arial;sans-serif" w:hAnsi="Arial;sans-serif"/>
                <w:b w:val="false"/>
                <w:color w:val="000000"/>
                <w:sz w:val="18"/>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Arial;sans-serif" w:hAnsi="Arial;sans-serif"/>
                <w:b w:val="false"/>
                <w:color w:val="000000"/>
                <w:sz w:val="20"/>
              </w:rPr>
            </w:pPr>
            <w:r>
              <w:rPr>
                <w:rFonts w:ascii="Arial;sans-serif" w:hAnsi="Arial;sans-serif"/>
                <w:b w:val="false"/>
                <w:color w:val="000000"/>
                <w:sz w:val="20"/>
              </w:rPr>
              <w:t>Treasury stock at cost, 37,384,981 and 37,289,582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(1,432,943)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1,232,487 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1,233,012 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4,271,495 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8925"/>
                <wp:effectExtent l="0" t="0" r="0" b="0"/>
                <wp:wrapNone/>
                <wp:docPr id="15" name="Frame1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BWX TECHNOLOGIES,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BUSINESS SEGMENT INFORMATION</w:t>
      </w:r>
    </w:p>
    <w:tbl>
      <w:tblPr>
        <w:tblW w:w="10205" w:type="dxa"/>
        <w:jc w:val="left"/>
        <w:tblInd w:w="0" w:type="dxa"/>
        <w:tblLayout w:type="fixed"/>
        <w:tblCellMar>
          <w:top w:w="28" w:type="dxa"/>
          <w:left w:w="28" w:type="dxa"/>
          <w:bottom w:w="28" w:type="dxa"/>
          <w:right w:w="28" w:type="dxa"/>
        </w:tblCellMar>
      </w:tblPr>
      <w:tblGrid>
        <w:gridCol w:w="1282"/>
        <w:gridCol w:w="1102"/>
        <w:gridCol w:w="1103"/>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128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br/>
              <w:t>(In thousands)</w:t>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1,446,297 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220,505 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4,435,593 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6,015,191 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648,870 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2,360,298 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88925"/>
                <wp:effectExtent l="0" t="0" r="0" b="0"/>
                <wp:wrapNone/>
                <wp:docPr id="16" name="Frame1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A reconciliation of non-GAAP results are detailed in Exhibit 1. Additional information can be found in the materials on the BWXT investor relations website at www.bwxt.com/investors.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4653</Words>
  <Characters>27094</Characters>
  <CharactersWithSpaces>30956</CharactersWithSpaces>
  <Paragraphs>1384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