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right="4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-228600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2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1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1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1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4003675</wp:posOffset>
            </wp:positionH>
            <wp:positionV relativeFrom="paragraph">
              <wp:posOffset>-632460</wp:posOffset>
            </wp:positionV>
            <wp:extent cx="58420" cy="6457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-1622425</wp:posOffset>
            </wp:positionH>
            <wp:positionV relativeFrom="paragraph">
              <wp:posOffset>752475</wp:posOffset>
            </wp:positionV>
            <wp:extent cx="7045960" cy="4782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782820"/>
                    </a:xfrm>
                    <a:prstGeom prst="rect">
                      <a:avLst/>
                    </a:prstGeom>
                    <a:noFill/>
                  </pic:spPr>
                </pic:pic>
              </a:graphicData>
            </a:graphic>
          </wp:anchor>
        </w:drawing>
      </w:r>
    </w:p>
    <w:p>
      <w:pPr>
        <w:spacing w:after="0" w:line="1198" w:lineRule="exact"/>
        <w:rPr>
          <w:sz w:val="24"/>
          <w:szCs w:val="24"/>
          <w:color w:val="auto"/>
        </w:rPr>
      </w:pPr>
    </w:p>
    <w:p>
      <w:pPr>
        <w:sectPr>
          <w:pgSz w:w="11900" w:h="16838" w:orient="portrait"/>
          <w:cols w:equalWidth="0" w:num="2">
            <w:col w:w="2320" w:space="220"/>
            <w:col w:w="854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PIASECKI NICOLE WEYERHAEUSER</w:t>
              </w:r>
            </w:hyperlink>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BWX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BWXT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Borders>
              <w:top w:val="single" w:sz="8" w:color="0000EE"/>
            </w:tcBorders>
          </w:tcPr>
          <w:p>
            <w:pPr>
              <w:spacing w:after="0"/>
              <w:rPr>
                <w:sz w:val="5"/>
                <w:szCs w:val="5"/>
                <w:color w:val="auto"/>
              </w:rPr>
            </w:pPr>
          </w:p>
        </w:tc>
        <w:tc>
          <w:tcPr>
            <w:tcW w:w="17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60" w:type="dxa"/>
            <w:vAlign w:val="bottom"/>
            <w:tcBorders>
              <w:top w:val="single" w:sz="8" w:color="0000EE"/>
            </w:tcBorders>
          </w:tcPr>
          <w:p>
            <w:pPr>
              <w:spacing w:after="0"/>
              <w:rPr>
                <w:sz w:val="6"/>
                <w:szCs w:val="6"/>
                <w:color w:val="auto"/>
              </w:rPr>
            </w:pPr>
          </w:p>
        </w:tc>
        <w:tc>
          <w:tcPr>
            <w:tcW w:w="940" w:type="dxa"/>
            <w:vAlign w:val="bottom"/>
            <w:tcBorders>
              <w:top w:val="single" w:sz="8" w:color="0000EE"/>
            </w:tcBorders>
          </w:tcPr>
          <w:p>
            <w:pPr>
              <w:spacing w:after="0"/>
              <w:rPr>
                <w:sz w:val="6"/>
                <w:szCs w:val="6"/>
                <w:color w:val="auto"/>
              </w:rPr>
            </w:pPr>
          </w:p>
        </w:tc>
        <w:tc>
          <w:tcPr>
            <w:tcW w:w="1520" w:type="dxa"/>
            <w:vAlign w:val="bottom"/>
            <w:tcBorders>
              <w:top w:val="single" w:sz="8" w:color="0000EE"/>
            </w:tcBorders>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6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4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940" w:type="dxa"/>
            <w:vAlign w:val="bottom"/>
            <w:tcBorders>
              <w:top w:val="single" w:sz="8" w:color="EEEEEE"/>
            </w:tcBorders>
          </w:tcPr>
          <w:p>
            <w:pPr>
              <w:spacing w:after="0"/>
              <w:rPr>
                <w:sz w:val="2"/>
                <w:szCs w:val="2"/>
                <w:color w:val="auto"/>
              </w:rPr>
            </w:pPr>
          </w:p>
        </w:tc>
        <w:tc>
          <w:tcPr>
            <w:tcW w:w="1520" w:type="dxa"/>
            <w:vAlign w:val="bottom"/>
            <w:tcBorders>
              <w:top w:val="single" w:sz="8" w:color="EEEEEE"/>
            </w:tcBorders>
          </w:tcPr>
          <w:p>
            <w:pPr>
              <w:spacing w:after="0"/>
              <w:rPr>
                <w:sz w:val="2"/>
                <w:szCs w:val="2"/>
                <w:color w:val="auto"/>
              </w:rPr>
            </w:pPr>
          </w:p>
        </w:tc>
        <w:tc>
          <w:tcPr>
            <w:tcW w:w="1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940" w:type="dxa"/>
            <w:vAlign w:val="bottom"/>
            <w:vMerge w:val="restart"/>
          </w:tcPr>
          <w:p>
            <w:pPr>
              <w:ind w:left="160"/>
              <w:spacing w:after="0"/>
              <w:rPr>
                <w:sz w:val="20"/>
                <w:szCs w:val="20"/>
                <w:color w:val="auto"/>
              </w:rPr>
            </w:pPr>
            <w:r>
              <w:rPr>
                <w:rFonts w:ascii="Arial" w:cs="Arial" w:eastAsia="Arial" w:hAnsi="Arial"/>
                <w:sz w:val="13"/>
                <w:szCs w:val="13"/>
                <w:color w:val="auto"/>
              </w:rPr>
              <w:t>(First)</w:t>
            </w:r>
          </w:p>
        </w:tc>
        <w:tc>
          <w:tcPr>
            <w:tcW w:w="1640" w:type="dxa"/>
            <w:vAlign w:val="bottom"/>
            <w:gridSpan w:val="2"/>
            <w:vMerge w:val="restart"/>
          </w:tcPr>
          <w:p>
            <w:pPr>
              <w:ind w:left="4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94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22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06/05/2026</w:t>
            </w:r>
          </w:p>
        </w:tc>
        <w:tc>
          <w:tcPr>
            <w:tcW w:w="170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800 MAIN STREET</w:t>
            </w:r>
          </w:p>
        </w:tc>
        <w:tc>
          <w:tcPr>
            <w:tcW w:w="1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20" w:type="dxa"/>
            <w:vAlign w:val="bottom"/>
            <w:gridSpan w:val="3"/>
            <w:vMerge w:val="continue"/>
          </w:tcPr>
          <w:p>
            <w:pPr>
              <w:spacing w:after="0"/>
              <w:rPr>
                <w:sz w:val="10"/>
                <w:szCs w:val="10"/>
                <w:color w:val="auto"/>
              </w:rPr>
            </w:pPr>
          </w:p>
        </w:tc>
        <w:tc>
          <w:tcPr>
            <w:tcW w:w="17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4TH FLOOR</w:t>
            </w:r>
          </w:p>
        </w:tc>
        <w:tc>
          <w:tcPr>
            <w:tcW w:w="9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6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184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106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0"/>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LYNCHBURG</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VA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24504</w:t>
            </w:r>
          </w:p>
        </w:tc>
      </w:tr>
      <w:tr>
        <w:trPr>
          <w:trHeight w:val="152"/>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90"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6.6</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00" w:type="dxa"/>
            <w:vAlign w:val="bottom"/>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Equivalent</w:t>
            </w:r>
          </w:p>
        </w:tc>
        <w:tc>
          <w:tcPr>
            <w:tcW w:w="780" w:type="dxa"/>
            <w:vAlign w:val="bottom"/>
            <w:vMerge w:val="continue"/>
          </w:tcPr>
          <w:p>
            <w:pPr>
              <w:spacing w:after="0"/>
              <w:rPr>
                <w:sz w:val="5"/>
                <w:szCs w:val="5"/>
                <w:color w:val="auto"/>
              </w:rPr>
            </w:pPr>
          </w:p>
        </w:tc>
        <w:tc>
          <w:tcPr>
            <w:tcW w:w="1100" w:type="dxa"/>
            <w:vAlign w:val="bottom"/>
            <w:vMerge w:val="restart"/>
          </w:tcPr>
          <w:p>
            <w:pPr>
              <w:jc w:val="right"/>
              <w:ind w:right="200"/>
              <w:spacing w:after="0" w:line="144" w:lineRule="exact"/>
              <w:rPr>
                <w:sz w:val="20"/>
                <w:szCs w:val="20"/>
                <w:color w:val="auto"/>
              </w:rPr>
            </w:pPr>
            <w:r>
              <w:rPr>
                <w:rFonts w:ascii="Times New Roman" w:cs="Times New Roman" w:eastAsia="Times New Roman" w:hAnsi="Times New Roman"/>
                <w:sz w:val="13"/>
                <w:szCs w:val="13"/>
                <w:color w:val="0000FF"/>
              </w:rPr>
              <w:t>06/05/2026</w:t>
            </w:r>
          </w:p>
        </w:tc>
        <w:tc>
          <w:tcPr>
            <w:tcW w:w="1100" w:type="dxa"/>
            <w:vAlign w:val="bottom"/>
          </w:tcPr>
          <w:p>
            <w:pPr>
              <w:spacing w:after="0"/>
              <w:rPr>
                <w:sz w:val="5"/>
                <w:szCs w:val="5"/>
                <w:color w:val="auto"/>
              </w:rPr>
            </w:pPr>
          </w:p>
        </w:tc>
        <w:tc>
          <w:tcPr>
            <w:tcW w:w="800" w:type="dxa"/>
            <w:vAlign w:val="bottom"/>
            <w:vMerge w:val="restart"/>
          </w:tcPr>
          <w:p>
            <w:pPr>
              <w:ind w:left="160"/>
              <w:spacing w:after="0" w:line="144" w:lineRule="exact"/>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line="144" w:lineRule="exact"/>
              <w:rPr>
                <w:sz w:val="20"/>
                <w:szCs w:val="20"/>
                <w:color w:val="auto"/>
              </w:rPr>
            </w:pPr>
            <w:r>
              <w:rPr>
                <w:rFonts w:ascii="Times New Roman" w:cs="Times New Roman" w:eastAsia="Times New Roman" w:hAnsi="Times New Roman"/>
                <w:sz w:val="13"/>
                <w:szCs w:val="13"/>
                <w:color w:val="0000FF"/>
              </w:rPr>
              <w:t>6.6</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280"/>
              <w:spacing w:after="0" w:line="144"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53.41</w:t>
            </w:r>
          </w:p>
        </w:tc>
        <w:tc>
          <w:tcPr>
            <w:tcW w:w="740" w:type="dxa"/>
            <w:vAlign w:val="bottom"/>
            <w:vMerge w:val="restart"/>
          </w:tcPr>
          <w:p>
            <w:pPr>
              <w:ind w:left="320"/>
              <w:spacing w:after="0" w:line="144"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74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20" w:type="dxa"/>
            <w:vAlign w:val="bottom"/>
          </w:tcPr>
          <w:p>
            <w:pPr>
              <w:spacing w:after="0"/>
              <w:rPr>
                <w:sz w:val="6"/>
                <w:szCs w:val="6"/>
                <w:color w:val="auto"/>
              </w:rPr>
            </w:pPr>
          </w:p>
        </w:tc>
        <w:tc>
          <w:tcPr>
            <w:tcW w:w="700" w:type="dxa"/>
            <w:vAlign w:val="bottom"/>
          </w:tcPr>
          <w:p>
            <w:pPr>
              <w:spacing w:after="0"/>
              <w:rPr>
                <w:sz w:val="6"/>
                <w:szCs w:val="6"/>
                <w:color w:val="auto"/>
              </w:rPr>
            </w:pPr>
          </w:p>
        </w:tc>
        <w:tc>
          <w:tcPr>
            <w:tcW w:w="9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40" w:right="240" w:firstLine="3"/>
        <w:spacing w:after="0" w:line="260"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dividend equivalent rights accrued on four restricted stock unit grants of which the reporting person has elected to defer receipt of the shares underlying the RSUs. Each RSU and DER represent a contingent right to receive one share of BWXT common stock. In accordance with the deferral election, the DERs will be delivered to the reporting person proportionately with the RSUs to which they relate.</w:t>
      </w:r>
    </w:p>
    <w:p>
      <w:pPr>
        <w:spacing w:after="0" w:line="41"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Nicole W. Piasecki,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-8255</wp:posOffset>
            </wp:positionV>
            <wp:extent cx="1107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07440" cy="8255"/>
                    </a:xfrm>
                    <a:prstGeom prst="rect">
                      <a:avLst/>
                    </a:prstGeom>
                    <a:noFill/>
                  </pic:spPr>
                </pic:pic>
              </a:graphicData>
            </a:graphic>
          </wp:anchor>
        </w:drawing>
      </w:r>
    </w:p>
    <w:p>
      <w:pPr>
        <w:spacing w:after="0" w:line="3"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Alexander D. Cobey, attorney-  06/09/2026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18884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-14605</wp:posOffset>
            </wp:positionV>
            <wp:extent cx="2806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670" cy="8255"/>
                    </a:xfrm>
                    <a:prstGeom prst="rect">
                      <a:avLst/>
                    </a:prstGeom>
                    <a:noFill/>
                  </pic:spPr>
                </pic:pic>
              </a:graphicData>
            </a:graphic>
          </wp:anchor>
        </w:drawing>
      </w:r>
    </w:p>
    <w:p>
      <w:pPr>
        <w:spacing w:after="0" w:line="3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20" w:firstLine="3"/>
        <w:spacing w:after="0" w:line="313"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83850" TargetMode="External"/><Relationship Id="rId14" Type="http://schemas.openxmlformats.org/officeDocument/2006/relationships/hyperlink" Target="http://www.sec.gov/cgi-bin/browse-edgar?action=getcompany&amp;CIK=00014869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2026-06-09T15:15:11Z</dcterms:created>
  <dcterms:modified xsi:type="dcterms:W3CDTF">2026-06-09T15:15:11Z</dcterms:modified>
</cp:coreProperties>
</file>